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628C" w14:textId="77777777" w:rsidR="00B51489" w:rsidRPr="00B51489" w:rsidRDefault="00B51489" w:rsidP="00B51489">
      <w:pPr>
        <w:pStyle w:val="Titre1"/>
        <w:spacing w:before="0" w:beforeAutospacing="0" w:after="0" w:afterAutospacing="0"/>
        <w:jc w:val="center"/>
        <w:rPr>
          <w:sz w:val="16"/>
          <w:szCs w:val="16"/>
          <w:lang w:val="en-US"/>
        </w:rPr>
      </w:pPr>
      <w:r w:rsidRPr="00B51489">
        <w:rPr>
          <w:sz w:val="24"/>
          <w:szCs w:val="24"/>
          <w:lang w:val="en-US"/>
        </w:rPr>
        <w:t xml:space="preserve">Perforating Internal Root Resorption Repaired with Mineral Trioxide Aggregate Caused Complete Resolution of Odontogenic Sinus Mucositis: A </w:t>
      </w:r>
      <w:r w:rsidRPr="00B51489">
        <w:rPr>
          <w:rStyle w:val="highlight"/>
          <w:sz w:val="24"/>
          <w:szCs w:val="24"/>
          <w:lang w:val="en-US"/>
        </w:rPr>
        <w:t>Case Report</w:t>
      </w:r>
      <w:r w:rsidRPr="00B51489">
        <w:rPr>
          <w:sz w:val="24"/>
          <w:szCs w:val="24"/>
          <w:lang w:val="en-US"/>
        </w:rPr>
        <w:t>.</w:t>
      </w:r>
    </w:p>
    <w:p w14:paraId="2696900B" w14:textId="77777777" w:rsidR="00B51489" w:rsidRPr="00B51489" w:rsidRDefault="00B51489" w:rsidP="00B51489">
      <w:pPr>
        <w:ind w:left="720"/>
        <w:rPr>
          <w:lang w:val="en-US"/>
        </w:rPr>
      </w:pPr>
      <w:proofErr w:type="spellStart"/>
      <w:r w:rsidRPr="00B51489">
        <w:rPr>
          <w:u w:val="single"/>
          <w:lang w:val="en-US"/>
        </w:rPr>
        <w:t>Bendyk-Szeffer</w:t>
      </w:r>
      <w:proofErr w:type="spellEnd"/>
      <w:r w:rsidRPr="00B51489">
        <w:rPr>
          <w:u w:val="single"/>
          <w:lang w:val="en-US"/>
        </w:rPr>
        <w:t xml:space="preserve"> M</w:t>
      </w:r>
      <w:r w:rsidRPr="00B51489">
        <w:rPr>
          <w:vertAlign w:val="superscript"/>
          <w:lang w:val="en-US"/>
        </w:rPr>
        <w:t>1</w:t>
      </w:r>
      <w:r w:rsidRPr="00B51489">
        <w:rPr>
          <w:lang w:val="en-US"/>
        </w:rPr>
        <w:t xml:space="preserve">, </w:t>
      </w:r>
      <w:proofErr w:type="spellStart"/>
      <w:r w:rsidRPr="00B51489">
        <w:rPr>
          <w:lang w:val="en-US"/>
        </w:rPr>
        <w:t>Łagocka</w:t>
      </w:r>
      <w:proofErr w:type="spellEnd"/>
      <w:r w:rsidRPr="00B51489">
        <w:rPr>
          <w:lang w:val="en-US"/>
        </w:rPr>
        <w:t xml:space="preserve"> R</w:t>
      </w:r>
      <w:r w:rsidRPr="00B51489">
        <w:rPr>
          <w:vertAlign w:val="superscript"/>
          <w:lang w:val="en-US"/>
        </w:rPr>
        <w:t>2</w:t>
      </w:r>
      <w:r w:rsidRPr="00B51489">
        <w:rPr>
          <w:lang w:val="en-US"/>
        </w:rPr>
        <w:t xml:space="preserve">, </w:t>
      </w:r>
      <w:proofErr w:type="spellStart"/>
      <w:r w:rsidRPr="00B51489">
        <w:rPr>
          <w:lang w:val="en-US"/>
        </w:rPr>
        <w:t>Trusewicz</w:t>
      </w:r>
      <w:proofErr w:type="spellEnd"/>
      <w:r w:rsidRPr="00B51489">
        <w:rPr>
          <w:lang w:val="en-US"/>
        </w:rPr>
        <w:t xml:space="preserve"> M</w:t>
      </w:r>
      <w:r w:rsidRPr="00B51489">
        <w:rPr>
          <w:vertAlign w:val="superscript"/>
          <w:lang w:val="en-US"/>
        </w:rPr>
        <w:t>2</w:t>
      </w:r>
      <w:r w:rsidRPr="00B51489">
        <w:rPr>
          <w:lang w:val="en-US"/>
        </w:rPr>
        <w:t>, Lipski M</w:t>
      </w:r>
      <w:r w:rsidRPr="00B51489">
        <w:rPr>
          <w:vertAlign w:val="superscript"/>
          <w:lang w:val="en-US"/>
        </w:rPr>
        <w:t>3</w:t>
      </w:r>
      <w:r w:rsidRPr="00B51489">
        <w:rPr>
          <w:lang w:val="en-US"/>
        </w:rPr>
        <w:t xml:space="preserve">, </w:t>
      </w:r>
      <w:proofErr w:type="spellStart"/>
      <w:r w:rsidRPr="00B51489">
        <w:rPr>
          <w:lang w:val="en-US"/>
        </w:rPr>
        <w:t>Buczkowska-Radlińska</w:t>
      </w:r>
      <w:proofErr w:type="spellEnd"/>
      <w:r w:rsidRPr="00B51489">
        <w:rPr>
          <w:lang w:val="en-US"/>
        </w:rPr>
        <w:t xml:space="preserve"> J</w:t>
      </w:r>
      <w:r w:rsidRPr="00B51489">
        <w:rPr>
          <w:vertAlign w:val="superscript"/>
          <w:lang w:val="en-US"/>
        </w:rPr>
        <w:t>2</w:t>
      </w:r>
      <w:r w:rsidRPr="00B51489">
        <w:rPr>
          <w:lang w:val="en-US"/>
        </w:rPr>
        <w:t>.</w:t>
      </w:r>
      <w:r w:rsidRPr="00B51489">
        <w:rPr>
          <w:i/>
          <w:sz w:val="20"/>
          <w:szCs w:val="20"/>
          <w:vertAlign w:val="superscript"/>
          <w:lang w:val="en-US"/>
        </w:rPr>
        <w:t xml:space="preserve"> </w:t>
      </w:r>
    </w:p>
    <w:p w14:paraId="7920C125" w14:textId="77777777" w:rsidR="00B51489" w:rsidRPr="00B51489" w:rsidRDefault="00B51489" w:rsidP="00B51489">
      <w:pPr>
        <w:jc w:val="center"/>
        <w:rPr>
          <w:i/>
          <w:lang w:val="en-US"/>
        </w:rPr>
      </w:pPr>
      <w:r w:rsidRPr="00B51489">
        <w:rPr>
          <w:i/>
          <w:vertAlign w:val="superscript"/>
          <w:lang w:val="en-US"/>
        </w:rPr>
        <w:t>1</w:t>
      </w:r>
      <w:r w:rsidRPr="00B51489">
        <w:rPr>
          <w:i/>
          <w:lang w:val="en-US"/>
        </w:rPr>
        <w:t xml:space="preserve">Department of Conservative Dentistry with Endodontics, Pomeranian Medical University, Szczecin, Poland.; </w:t>
      </w:r>
      <w:r w:rsidRPr="00B51489">
        <w:rPr>
          <w:i/>
          <w:vertAlign w:val="superscript"/>
          <w:lang w:val="en-US"/>
        </w:rPr>
        <w:t>2</w:t>
      </w:r>
      <w:r w:rsidRPr="00B51489">
        <w:rPr>
          <w:i/>
          <w:lang w:val="en-US"/>
        </w:rPr>
        <w:t xml:space="preserve">Department of Conservative Dentistry with Endodontics, Pomeranian Medical University, Szczecin, </w:t>
      </w:r>
      <w:proofErr w:type="gramStart"/>
      <w:r w:rsidRPr="00B51489">
        <w:rPr>
          <w:i/>
          <w:lang w:val="en-US"/>
        </w:rPr>
        <w:t>Poland ;</w:t>
      </w:r>
      <w:proofErr w:type="gramEnd"/>
      <w:r w:rsidRPr="00B51489">
        <w:rPr>
          <w:i/>
          <w:lang w:val="en-US"/>
        </w:rPr>
        <w:t xml:space="preserve"> </w:t>
      </w:r>
      <w:r w:rsidRPr="00B51489">
        <w:rPr>
          <w:i/>
          <w:vertAlign w:val="superscript"/>
          <w:lang w:val="en-US"/>
        </w:rPr>
        <w:t>3</w:t>
      </w:r>
      <w:r w:rsidRPr="00B51489">
        <w:rPr>
          <w:i/>
          <w:lang w:val="en-US"/>
        </w:rPr>
        <w:t>Department of Preclinical Conservative Dentistry and Preclinical Endodontics, Pomeranian Medical University, Szczecin, Poland</w:t>
      </w:r>
    </w:p>
    <w:p w14:paraId="789EAFC2" w14:textId="77777777" w:rsidR="00B51489" w:rsidRPr="00B51489" w:rsidRDefault="00B51489" w:rsidP="00B51489">
      <w:pPr>
        <w:autoSpaceDE w:val="0"/>
        <w:autoSpaceDN w:val="0"/>
        <w:adjustRightInd w:val="0"/>
        <w:jc w:val="center"/>
        <w:rPr>
          <w:b/>
          <w:sz w:val="16"/>
          <w:szCs w:val="16"/>
          <w:lang w:val="en-US"/>
        </w:rPr>
      </w:pPr>
    </w:p>
    <w:p w14:paraId="7AC9A779" w14:textId="77777777" w:rsidR="00B51489" w:rsidRPr="00B51489" w:rsidRDefault="00B51489" w:rsidP="00B51489">
      <w:pPr>
        <w:autoSpaceDE w:val="0"/>
        <w:autoSpaceDN w:val="0"/>
        <w:adjustRightInd w:val="0"/>
        <w:jc w:val="center"/>
        <w:rPr>
          <w:b/>
          <w:sz w:val="16"/>
          <w:szCs w:val="16"/>
          <w:lang w:val="en-US"/>
        </w:rPr>
        <w:sectPr w:rsidR="00B51489" w:rsidRPr="00B51489" w:rsidSect="00592CDF">
          <w:pgSz w:w="11906" w:h="16838"/>
          <w:pgMar w:top="539" w:right="1106" w:bottom="1258" w:left="1260" w:header="708" w:footer="708" w:gutter="0"/>
          <w:cols w:space="336"/>
          <w:docGrid w:linePitch="360"/>
        </w:sectPr>
      </w:pPr>
    </w:p>
    <w:p w14:paraId="252AD2DB" w14:textId="77777777" w:rsidR="00B51489" w:rsidRPr="00B51489" w:rsidRDefault="00B51489" w:rsidP="00B51489">
      <w:pPr>
        <w:autoSpaceDE w:val="0"/>
        <w:autoSpaceDN w:val="0"/>
        <w:adjustRightInd w:val="0"/>
        <w:jc w:val="both"/>
        <w:rPr>
          <w:sz w:val="22"/>
          <w:szCs w:val="22"/>
          <w:lang w:val="en-US"/>
        </w:rPr>
      </w:pPr>
      <w:r w:rsidRPr="00B51489">
        <w:rPr>
          <w:b/>
          <w:sz w:val="22"/>
          <w:szCs w:val="22"/>
          <w:lang w:val="en-US"/>
        </w:rPr>
        <w:t>BACKGROUND /CONTEXT</w:t>
      </w:r>
      <w:r w:rsidRPr="00B51489">
        <w:rPr>
          <w:sz w:val="22"/>
          <w:szCs w:val="22"/>
          <w:lang w:val="en-US"/>
        </w:rPr>
        <w:t xml:space="preserve">: Here is an example plan for the clinical session. You can change it according your work but abstracts </w:t>
      </w:r>
      <w:r w:rsidRPr="00B51489">
        <w:rPr>
          <w:b/>
          <w:bCs/>
          <w:sz w:val="22"/>
          <w:szCs w:val="22"/>
          <w:lang w:val="en-US"/>
        </w:rPr>
        <w:t xml:space="preserve">must </w:t>
      </w:r>
      <w:r w:rsidRPr="00B51489">
        <w:rPr>
          <w:sz w:val="22"/>
          <w:szCs w:val="22"/>
          <w:lang w:val="en-US"/>
        </w:rPr>
        <w:t>adhere to the following style. You can present a case report, case series or clinical techniques. The required styles illustrated in this Microsoft WORD document, must be used as a template for production of abstracts, by replacing the relevant text with your own. The easiest way to use this abstract form is by cutting and pasting of unformatted text to maintain the documents present format.</w:t>
      </w:r>
    </w:p>
    <w:p w14:paraId="76E7E5CF" w14:textId="77777777" w:rsidR="00B51489" w:rsidRPr="00B51489" w:rsidRDefault="00B51489" w:rsidP="00B51489">
      <w:pPr>
        <w:autoSpaceDE w:val="0"/>
        <w:autoSpaceDN w:val="0"/>
        <w:adjustRightInd w:val="0"/>
        <w:jc w:val="both"/>
        <w:rPr>
          <w:b/>
          <w:bCs/>
          <w:sz w:val="22"/>
          <w:szCs w:val="22"/>
          <w:lang w:val="en-US"/>
        </w:rPr>
      </w:pPr>
    </w:p>
    <w:p w14:paraId="396836A1" w14:textId="77777777" w:rsidR="00B51489" w:rsidRPr="00B51489" w:rsidRDefault="00B51489" w:rsidP="00B51489">
      <w:pPr>
        <w:autoSpaceDE w:val="0"/>
        <w:autoSpaceDN w:val="0"/>
        <w:adjustRightInd w:val="0"/>
        <w:jc w:val="both"/>
        <w:rPr>
          <w:i/>
          <w:lang w:val="en-US"/>
        </w:rPr>
      </w:pPr>
      <w:r w:rsidRPr="00B51489">
        <w:rPr>
          <w:b/>
          <w:bCs/>
          <w:sz w:val="22"/>
          <w:szCs w:val="22"/>
          <w:lang w:val="en-US"/>
        </w:rPr>
        <w:t xml:space="preserve">METHODS/CASE REPORT DESCRIPTION: </w:t>
      </w:r>
    </w:p>
    <w:p w14:paraId="40B30670" w14:textId="77777777" w:rsidR="003B30C9" w:rsidRDefault="00B51489" w:rsidP="00B51489">
      <w:pPr>
        <w:autoSpaceDE w:val="0"/>
        <w:autoSpaceDN w:val="0"/>
        <w:adjustRightInd w:val="0"/>
        <w:jc w:val="both"/>
        <w:rPr>
          <w:sz w:val="22"/>
          <w:szCs w:val="22"/>
          <w:lang w:val="en-US"/>
        </w:rPr>
      </w:pPr>
      <w:r w:rsidRPr="00B51489">
        <w:rPr>
          <w:sz w:val="22"/>
          <w:szCs w:val="22"/>
          <w:lang w:val="en-US"/>
        </w:rPr>
        <w:t xml:space="preserve">All abstracts must be formatted for only A4 paper (210 x 297 mm). The top margin should be set to 15 mm, bottom margin to 25 mm, and 1eft and right margins to 20 mm. The entire document is set to 2 columns with 10 mm of intercolumn spacing (giving a column width of 80 mm). The body of the document should be set in 11 </w:t>
      </w:r>
      <w:proofErr w:type="spellStart"/>
      <w:r w:rsidRPr="00B51489">
        <w:rPr>
          <w:sz w:val="22"/>
          <w:szCs w:val="22"/>
          <w:lang w:val="en-US"/>
        </w:rPr>
        <w:t>pt</w:t>
      </w:r>
      <w:proofErr w:type="spellEnd"/>
      <w:r w:rsidRPr="00B51489">
        <w:rPr>
          <w:sz w:val="22"/>
          <w:szCs w:val="22"/>
          <w:lang w:val="en-US"/>
        </w:rPr>
        <w:t xml:space="preserve"> Times New Roman, justified, with single line-spacing. Do not use fonts other than Times New Roman (or Times), Symbol, and </w:t>
      </w:r>
      <w:proofErr w:type="spellStart"/>
      <w:r w:rsidRPr="00B51489">
        <w:rPr>
          <w:sz w:val="22"/>
          <w:szCs w:val="22"/>
          <w:lang w:val="en-US"/>
        </w:rPr>
        <w:t>MTExtra</w:t>
      </w:r>
      <w:proofErr w:type="spellEnd"/>
      <w:r w:rsidRPr="00B51489">
        <w:rPr>
          <w:sz w:val="22"/>
          <w:szCs w:val="22"/>
          <w:lang w:val="en-US"/>
        </w:rPr>
        <w:t xml:space="preserve"> in the document (including equations and figures). </w:t>
      </w:r>
    </w:p>
    <w:p w14:paraId="4B188DB5" w14:textId="2F0AC0F1" w:rsidR="00C56DF5" w:rsidRDefault="00B51489" w:rsidP="00B51489">
      <w:pPr>
        <w:autoSpaceDE w:val="0"/>
        <w:autoSpaceDN w:val="0"/>
        <w:adjustRightInd w:val="0"/>
        <w:jc w:val="both"/>
        <w:rPr>
          <w:sz w:val="22"/>
          <w:szCs w:val="22"/>
          <w:lang w:val="en-US"/>
        </w:rPr>
      </w:pPr>
      <w:r w:rsidRPr="00B51489">
        <w:rPr>
          <w:i/>
          <w:iCs/>
          <w:sz w:val="22"/>
          <w:szCs w:val="22"/>
          <w:lang w:val="en-US"/>
        </w:rPr>
        <w:t xml:space="preserve">Title </w:t>
      </w:r>
      <w:r w:rsidRPr="00B51489">
        <w:rPr>
          <w:sz w:val="22"/>
          <w:szCs w:val="22"/>
          <w:lang w:val="en-US"/>
        </w:rPr>
        <w:t xml:space="preserve">should be in bold all-caps. </w:t>
      </w:r>
    </w:p>
    <w:p w14:paraId="3D834C29" w14:textId="28D3E948" w:rsidR="00B51489" w:rsidRPr="00B51489" w:rsidRDefault="00B51489" w:rsidP="00B51489">
      <w:pPr>
        <w:autoSpaceDE w:val="0"/>
        <w:autoSpaceDN w:val="0"/>
        <w:adjustRightInd w:val="0"/>
        <w:jc w:val="both"/>
        <w:rPr>
          <w:sz w:val="22"/>
          <w:szCs w:val="22"/>
          <w:lang w:val="en-US"/>
        </w:rPr>
      </w:pPr>
      <w:r w:rsidRPr="00B51489">
        <w:rPr>
          <w:i/>
          <w:iCs/>
          <w:sz w:val="22"/>
          <w:szCs w:val="22"/>
          <w:lang w:val="en-US"/>
        </w:rPr>
        <w:t xml:space="preserve">Author </w:t>
      </w:r>
      <w:r w:rsidRPr="00B51489">
        <w:rPr>
          <w:sz w:val="22"/>
          <w:szCs w:val="22"/>
          <w:lang w:val="en-US"/>
        </w:rPr>
        <w:t xml:space="preserve">should be listed consecutively (as shown above) by initials and last name. Authors may be hyperlinked to the e-mail address (as shown above). </w:t>
      </w:r>
      <w:r w:rsidRPr="00B51489">
        <w:rPr>
          <w:i/>
          <w:iCs/>
          <w:sz w:val="22"/>
          <w:szCs w:val="22"/>
          <w:lang w:val="en-US"/>
        </w:rPr>
        <w:t xml:space="preserve">Affiliation </w:t>
      </w:r>
      <w:r w:rsidRPr="00B51489">
        <w:rPr>
          <w:sz w:val="22"/>
          <w:szCs w:val="22"/>
          <w:lang w:val="en-US"/>
        </w:rPr>
        <w:t>should be indicated with superscripted suffix Arabic</w:t>
      </w:r>
      <w:r w:rsidR="00C56DF5">
        <w:rPr>
          <w:sz w:val="22"/>
          <w:szCs w:val="22"/>
          <w:lang w:val="en-US"/>
        </w:rPr>
        <w:t xml:space="preserve"> </w:t>
      </w:r>
      <w:r w:rsidRPr="00B51489">
        <w:rPr>
          <w:sz w:val="22"/>
          <w:szCs w:val="22"/>
          <w:lang w:val="en-US"/>
        </w:rPr>
        <w:t>numerals. Do not append degrees, professional</w:t>
      </w:r>
      <w:r>
        <w:rPr>
          <w:sz w:val="22"/>
          <w:szCs w:val="22"/>
          <w:lang w:val="en-US"/>
        </w:rPr>
        <w:t xml:space="preserve"> </w:t>
      </w:r>
      <w:r w:rsidRPr="00B51489">
        <w:rPr>
          <w:sz w:val="22"/>
          <w:szCs w:val="22"/>
          <w:lang w:val="en-US"/>
        </w:rPr>
        <w:t>designations, etc., to names. Affiliations should be</w:t>
      </w:r>
      <w:r>
        <w:rPr>
          <w:sz w:val="22"/>
          <w:szCs w:val="22"/>
          <w:lang w:val="en-US"/>
        </w:rPr>
        <w:t xml:space="preserve"> </w:t>
      </w:r>
      <w:r w:rsidRPr="00B51489">
        <w:rPr>
          <w:sz w:val="22"/>
          <w:szCs w:val="22"/>
          <w:lang w:val="en-US"/>
        </w:rPr>
        <w:t>listed consecutively and may be hyperlinked to the</w:t>
      </w:r>
      <w:r>
        <w:rPr>
          <w:sz w:val="22"/>
          <w:szCs w:val="22"/>
          <w:lang w:val="en-US"/>
        </w:rPr>
        <w:t xml:space="preserve"> </w:t>
      </w:r>
      <w:r w:rsidRPr="00B51489">
        <w:rPr>
          <w:sz w:val="22"/>
          <w:szCs w:val="22"/>
          <w:lang w:val="en-US"/>
        </w:rPr>
        <w:t>related web page (as shown above).</w:t>
      </w:r>
    </w:p>
    <w:p w14:paraId="710D8826" w14:textId="77777777" w:rsidR="00B51489" w:rsidRPr="00B51489" w:rsidRDefault="00B51489" w:rsidP="00B51489">
      <w:pPr>
        <w:autoSpaceDE w:val="0"/>
        <w:autoSpaceDN w:val="0"/>
        <w:adjustRightInd w:val="0"/>
        <w:jc w:val="both"/>
        <w:rPr>
          <w:b/>
          <w:bCs/>
          <w:sz w:val="22"/>
          <w:szCs w:val="22"/>
          <w:lang w:val="en-US"/>
        </w:rPr>
      </w:pPr>
    </w:p>
    <w:p w14:paraId="2F2D100B" w14:textId="77777777" w:rsidR="00B51489" w:rsidRPr="00B51489" w:rsidRDefault="00B51489" w:rsidP="00B51489">
      <w:pPr>
        <w:autoSpaceDE w:val="0"/>
        <w:autoSpaceDN w:val="0"/>
        <w:adjustRightInd w:val="0"/>
        <w:jc w:val="both"/>
        <w:rPr>
          <w:sz w:val="22"/>
          <w:szCs w:val="22"/>
          <w:lang w:val="en-US"/>
        </w:rPr>
      </w:pPr>
      <w:r w:rsidRPr="00B51489">
        <w:rPr>
          <w:b/>
          <w:bCs/>
          <w:sz w:val="22"/>
          <w:szCs w:val="22"/>
          <w:lang w:val="en-US"/>
        </w:rPr>
        <w:t>RESULTS / MONITORING</w:t>
      </w:r>
      <w:r w:rsidRPr="00B51489">
        <w:rPr>
          <w:sz w:val="22"/>
          <w:szCs w:val="22"/>
          <w:lang w:val="en-US"/>
        </w:rPr>
        <w:t xml:space="preserve">: Sample reference entries [l-4] are given in the References section. References should be set as one block, as below, and a maximum of four references may be used. Figures should use </w:t>
      </w:r>
      <w:r w:rsidRPr="00B51489">
        <w:rPr>
          <w:i/>
          <w:iCs/>
          <w:sz w:val="22"/>
          <w:szCs w:val="22"/>
          <w:lang w:val="en-US"/>
        </w:rPr>
        <w:t xml:space="preserve">Figure </w:t>
      </w:r>
      <w:r w:rsidRPr="00B51489">
        <w:rPr>
          <w:sz w:val="22"/>
          <w:szCs w:val="22"/>
          <w:lang w:val="en-US"/>
        </w:rPr>
        <w:t xml:space="preserve">style and have the caption below them. Tables should use </w:t>
      </w:r>
      <w:r w:rsidRPr="00B51489">
        <w:rPr>
          <w:i/>
          <w:iCs/>
          <w:sz w:val="22"/>
          <w:szCs w:val="22"/>
          <w:lang w:val="en-US"/>
        </w:rPr>
        <w:t xml:space="preserve">Table </w:t>
      </w:r>
      <w:r w:rsidRPr="00B51489">
        <w:rPr>
          <w:sz w:val="22"/>
          <w:szCs w:val="22"/>
          <w:lang w:val="en-US"/>
        </w:rPr>
        <w:t xml:space="preserve">style and have the caption above them. Figure and table caption styles are </w:t>
      </w:r>
      <w:r w:rsidRPr="00B51489">
        <w:rPr>
          <w:i/>
          <w:iCs/>
          <w:sz w:val="22"/>
          <w:szCs w:val="22"/>
          <w:lang w:val="en-US"/>
        </w:rPr>
        <w:t xml:space="preserve">Fig Caption </w:t>
      </w:r>
      <w:r w:rsidRPr="00B51489">
        <w:rPr>
          <w:sz w:val="22"/>
          <w:szCs w:val="22"/>
          <w:lang w:val="en-US"/>
        </w:rPr>
        <w:t xml:space="preserve">and </w:t>
      </w:r>
      <w:r w:rsidRPr="00B51489">
        <w:rPr>
          <w:i/>
          <w:iCs/>
          <w:sz w:val="22"/>
          <w:szCs w:val="22"/>
          <w:lang w:val="en-US"/>
        </w:rPr>
        <w:t>Table Caption</w:t>
      </w:r>
      <w:r w:rsidRPr="00B51489">
        <w:rPr>
          <w:sz w:val="22"/>
          <w:szCs w:val="22"/>
          <w:lang w:val="en-US"/>
        </w:rPr>
        <w:t>, respectively. Scanned figures should have a minimum resolution of 300 dpi for an 80 mm figure width. EPS or TIFF is the preferred format.</w:t>
      </w:r>
    </w:p>
    <w:p w14:paraId="6ECD41BF" w14:textId="77777777" w:rsidR="00B51489" w:rsidRPr="00B51489" w:rsidRDefault="00B51489" w:rsidP="00B51489">
      <w:pPr>
        <w:jc w:val="both"/>
        <w:rPr>
          <w:b/>
          <w:sz w:val="22"/>
          <w:szCs w:val="22"/>
          <w:lang w:val="en-US"/>
        </w:rPr>
      </w:pPr>
      <w:r w:rsidRPr="00B51489">
        <w:rPr>
          <w:b/>
          <w:noProof/>
          <w:sz w:val="22"/>
          <w:szCs w:val="22"/>
          <w:lang w:val="en-US"/>
        </w:rPr>
        <w:drawing>
          <wp:inline distT="0" distB="0" distL="0" distR="0" wp14:anchorId="3EFA673B" wp14:editId="27570858">
            <wp:extent cx="2819400" cy="1926638"/>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819400" cy="1926638"/>
                    </a:xfrm>
                    <a:prstGeom prst="rect">
                      <a:avLst/>
                    </a:prstGeom>
                    <a:noFill/>
                    <a:ln w="9525">
                      <a:noFill/>
                      <a:miter lim="800000"/>
                      <a:headEnd/>
                      <a:tailEnd/>
                    </a:ln>
                  </pic:spPr>
                </pic:pic>
              </a:graphicData>
            </a:graphic>
          </wp:inline>
        </w:drawing>
      </w:r>
    </w:p>
    <w:p w14:paraId="53602EBA" w14:textId="77777777" w:rsidR="00B51489" w:rsidRPr="00B51489" w:rsidRDefault="00B51489" w:rsidP="00B51489">
      <w:pPr>
        <w:jc w:val="both"/>
        <w:rPr>
          <w:b/>
          <w:sz w:val="22"/>
          <w:szCs w:val="22"/>
          <w:lang w:val="en-US"/>
        </w:rPr>
      </w:pPr>
    </w:p>
    <w:p w14:paraId="2BED769B" w14:textId="77777777" w:rsidR="00B51489" w:rsidRPr="00B51489" w:rsidRDefault="00B51489" w:rsidP="00B51489">
      <w:pPr>
        <w:autoSpaceDE w:val="0"/>
        <w:autoSpaceDN w:val="0"/>
        <w:adjustRightInd w:val="0"/>
        <w:jc w:val="both"/>
        <w:rPr>
          <w:i/>
          <w:sz w:val="22"/>
          <w:szCs w:val="22"/>
          <w:lang w:val="en-US"/>
        </w:rPr>
      </w:pPr>
      <w:r w:rsidRPr="00B51489">
        <w:rPr>
          <w:i/>
          <w:iCs/>
          <w:sz w:val="22"/>
          <w:szCs w:val="22"/>
          <w:lang w:val="en-US"/>
        </w:rPr>
        <w:t xml:space="preserve">Fig. </w:t>
      </w:r>
      <w:r w:rsidRPr="00B51489">
        <w:rPr>
          <w:i/>
          <w:sz w:val="22"/>
          <w:szCs w:val="22"/>
          <w:lang w:val="en-US"/>
        </w:rPr>
        <w:t xml:space="preserve">(A) A CBCT scan (coronal section) at the level of the first molar 6 months after completion of root canal treatment. A soft tissue density mass superior to tooth 16 had completely resolved. (B) Three dimensional visualization of internal anatomy of tooth 16 after root canal obturation </w:t>
      </w:r>
      <w:r w:rsidRPr="00B51489">
        <w:rPr>
          <w:i/>
          <w:sz w:val="22"/>
          <w:szCs w:val="22"/>
          <w:vertAlign w:val="superscript"/>
          <w:lang w:val="en-US"/>
        </w:rPr>
        <w:t>4</w:t>
      </w:r>
    </w:p>
    <w:p w14:paraId="4FEBD467" w14:textId="77777777" w:rsidR="00B51489" w:rsidRPr="00B51489" w:rsidRDefault="00B51489" w:rsidP="00B51489">
      <w:pPr>
        <w:autoSpaceDE w:val="0"/>
        <w:autoSpaceDN w:val="0"/>
        <w:adjustRightInd w:val="0"/>
        <w:jc w:val="both"/>
        <w:rPr>
          <w:i/>
          <w:sz w:val="22"/>
          <w:szCs w:val="22"/>
          <w:lang w:val="en-US"/>
        </w:rPr>
      </w:pPr>
    </w:p>
    <w:p w14:paraId="254040D2" w14:textId="18933B10" w:rsidR="00B51489" w:rsidRPr="00EC2894" w:rsidRDefault="00B51489" w:rsidP="00B51489">
      <w:pPr>
        <w:autoSpaceDE w:val="0"/>
        <w:autoSpaceDN w:val="0"/>
        <w:adjustRightInd w:val="0"/>
        <w:jc w:val="both"/>
        <w:rPr>
          <w:color w:val="FF0000"/>
          <w:sz w:val="22"/>
          <w:szCs w:val="22"/>
          <w:lang w:val="en-US"/>
        </w:rPr>
      </w:pPr>
      <w:r w:rsidRPr="00B51489">
        <w:rPr>
          <w:b/>
          <w:bCs/>
          <w:color w:val="000000"/>
          <w:sz w:val="22"/>
          <w:szCs w:val="22"/>
          <w:lang w:val="en-US"/>
        </w:rPr>
        <w:t xml:space="preserve">DISCUSSION &amp; CONCLUSIONS: </w:t>
      </w:r>
      <w:r w:rsidRPr="00B51489">
        <w:rPr>
          <w:color w:val="FF0000"/>
          <w:sz w:val="22"/>
          <w:szCs w:val="22"/>
          <w:lang w:val="en-US"/>
        </w:rPr>
        <w:t xml:space="preserve">Abstracts </w:t>
      </w:r>
      <w:r w:rsidR="00834391">
        <w:rPr>
          <w:color w:val="FF0000"/>
          <w:sz w:val="22"/>
          <w:szCs w:val="22"/>
          <w:lang w:val="en-US"/>
        </w:rPr>
        <w:t>must not exceed one page</w:t>
      </w:r>
      <w:bookmarkStart w:id="0" w:name="_GoBack"/>
      <w:bookmarkEnd w:id="0"/>
      <w:r w:rsidR="00EC2894">
        <w:rPr>
          <w:color w:val="FF0000"/>
          <w:sz w:val="22"/>
          <w:szCs w:val="22"/>
          <w:lang w:val="en-US"/>
        </w:rPr>
        <w:t>.</w:t>
      </w:r>
      <w:r w:rsidRPr="00B51489">
        <w:rPr>
          <w:color w:val="FF0000"/>
          <w:sz w:val="22"/>
          <w:szCs w:val="22"/>
          <w:lang w:val="en-US"/>
        </w:rPr>
        <w:t xml:space="preserve"> </w:t>
      </w:r>
      <w:r w:rsidRPr="00B51489">
        <w:rPr>
          <w:color w:val="000000"/>
          <w:sz w:val="22"/>
          <w:szCs w:val="22"/>
          <w:lang w:val="en-US"/>
        </w:rPr>
        <w:t>Please submit the abstract as a Word 97/2000/XP/2003 document for</w:t>
      </w:r>
      <w:r w:rsidR="00EC2894">
        <w:rPr>
          <w:color w:val="FF0000"/>
          <w:sz w:val="22"/>
          <w:szCs w:val="22"/>
          <w:lang w:val="en-US"/>
        </w:rPr>
        <w:t xml:space="preserve"> </w:t>
      </w:r>
      <w:r w:rsidRPr="00B51489">
        <w:rPr>
          <w:color w:val="000000"/>
          <w:sz w:val="22"/>
          <w:szCs w:val="22"/>
          <w:lang w:val="en-US"/>
        </w:rPr>
        <w:t>Windows, or Word 98/2001/X/2004 document for</w:t>
      </w:r>
      <w:r w:rsidR="00EC2894">
        <w:rPr>
          <w:color w:val="FF0000"/>
          <w:sz w:val="22"/>
          <w:szCs w:val="22"/>
          <w:lang w:val="en-US"/>
        </w:rPr>
        <w:t xml:space="preserve"> </w:t>
      </w:r>
      <w:r w:rsidRPr="00B51489">
        <w:rPr>
          <w:color w:val="000000"/>
          <w:sz w:val="22"/>
          <w:szCs w:val="22"/>
          <w:lang w:val="en-US"/>
        </w:rPr>
        <w:t>Mac. Only electronic submissions will be accepted.</w:t>
      </w:r>
    </w:p>
    <w:p w14:paraId="2D03841E" w14:textId="77777777" w:rsidR="00B51489" w:rsidRPr="00B51489" w:rsidRDefault="00B51489" w:rsidP="00B51489">
      <w:pPr>
        <w:autoSpaceDE w:val="0"/>
        <w:autoSpaceDN w:val="0"/>
        <w:adjustRightInd w:val="0"/>
        <w:jc w:val="both"/>
        <w:rPr>
          <w:color w:val="000000"/>
          <w:sz w:val="22"/>
          <w:szCs w:val="22"/>
          <w:lang w:val="en-US"/>
        </w:rPr>
      </w:pPr>
    </w:p>
    <w:p w14:paraId="7AF045D7" w14:textId="77777777" w:rsidR="00B51489" w:rsidRPr="00B51489" w:rsidRDefault="00B51489" w:rsidP="00B51489">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0"/>
          <w:sz w:val="22"/>
          <w:szCs w:val="22"/>
          <w:lang w:val="en-US"/>
        </w:rPr>
      </w:pPr>
      <w:r w:rsidRPr="00B51489">
        <w:rPr>
          <w:b/>
          <w:color w:val="000000"/>
          <w:sz w:val="22"/>
          <w:szCs w:val="22"/>
          <w:lang w:val="en-US"/>
        </w:rPr>
        <w:t xml:space="preserve">ENDODONTIC OR CONSERVATIVE DENTISTRY RELEVANCE: </w:t>
      </w:r>
      <w:r w:rsidRPr="00EC2894">
        <w:rPr>
          <w:color w:val="000000"/>
          <w:lang w:val="en-US"/>
        </w:rPr>
        <w:t xml:space="preserve">Please provide a brief statement </w:t>
      </w:r>
      <w:r w:rsidRPr="00EC2894">
        <w:rPr>
          <w:lang w:val="en-US"/>
        </w:rPr>
        <w:t>that succinctly summarizes</w:t>
      </w:r>
      <w:r w:rsidRPr="00B51489">
        <w:rPr>
          <w:lang w:val="en-US"/>
        </w:rPr>
        <w:t xml:space="preserve"> the endodontic or conservative dentistry interest of the findings described in your manuscript</w:t>
      </w:r>
      <w:r w:rsidR="00EC2894">
        <w:rPr>
          <w:lang w:val="en-US"/>
        </w:rPr>
        <w:t>.</w:t>
      </w:r>
    </w:p>
    <w:p w14:paraId="6EB44C3A" w14:textId="77777777" w:rsidR="00B51489" w:rsidRPr="00B51489" w:rsidRDefault="00B51489" w:rsidP="00B51489">
      <w:pPr>
        <w:autoSpaceDE w:val="0"/>
        <w:autoSpaceDN w:val="0"/>
        <w:adjustRightInd w:val="0"/>
        <w:jc w:val="both"/>
        <w:rPr>
          <w:b/>
          <w:color w:val="000000"/>
          <w:sz w:val="22"/>
          <w:szCs w:val="22"/>
          <w:lang w:val="en-US"/>
        </w:rPr>
      </w:pPr>
    </w:p>
    <w:p w14:paraId="15DD487B" w14:textId="77777777" w:rsidR="00B51489" w:rsidRPr="00B51489" w:rsidRDefault="00B51489" w:rsidP="00B51489">
      <w:pPr>
        <w:autoSpaceDE w:val="0"/>
        <w:autoSpaceDN w:val="0"/>
        <w:adjustRightInd w:val="0"/>
        <w:jc w:val="both"/>
        <w:rPr>
          <w:i/>
          <w:color w:val="000000"/>
          <w:sz w:val="22"/>
          <w:szCs w:val="22"/>
          <w:lang w:val="en-US"/>
        </w:rPr>
      </w:pPr>
      <w:r w:rsidRPr="00B51489">
        <w:rPr>
          <w:b/>
          <w:bCs/>
          <w:color w:val="000000"/>
          <w:sz w:val="22"/>
          <w:szCs w:val="22"/>
          <w:lang w:val="en-US"/>
        </w:rPr>
        <w:t xml:space="preserve">REFERENCES: </w:t>
      </w:r>
      <w:r w:rsidRPr="00B51489">
        <w:rPr>
          <w:color w:val="000000"/>
          <w:sz w:val="14"/>
          <w:szCs w:val="14"/>
          <w:lang w:val="en-US"/>
        </w:rPr>
        <w:t xml:space="preserve">1 </w:t>
      </w:r>
      <w:r w:rsidRPr="00B51489">
        <w:rPr>
          <w:color w:val="000000"/>
          <w:sz w:val="22"/>
          <w:szCs w:val="22"/>
          <w:lang w:val="en-US"/>
        </w:rPr>
        <w:t xml:space="preserve">M. Ziegler (1991) </w:t>
      </w:r>
      <w:r w:rsidRPr="00B51489">
        <w:rPr>
          <w:i/>
          <w:iCs/>
          <w:color w:val="000000"/>
          <w:sz w:val="22"/>
          <w:szCs w:val="22"/>
          <w:lang w:val="en-US"/>
        </w:rPr>
        <w:t>Essentials of</w:t>
      </w:r>
    </w:p>
    <w:p w14:paraId="65325074" w14:textId="77777777" w:rsidR="00B51489" w:rsidRPr="00B51489" w:rsidRDefault="00B51489" w:rsidP="00B51489">
      <w:pPr>
        <w:autoSpaceDE w:val="0"/>
        <w:autoSpaceDN w:val="0"/>
        <w:adjustRightInd w:val="0"/>
        <w:jc w:val="both"/>
        <w:rPr>
          <w:color w:val="000000"/>
          <w:sz w:val="22"/>
          <w:szCs w:val="22"/>
          <w:lang w:val="en-US"/>
        </w:rPr>
      </w:pPr>
      <w:r w:rsidRPr="00B51489">
        <w:rPr>
          <w:i/>
          <w:iCs/>
          <w:color w:val="000000"/>
          <w:sz w:val="22"/>
          <w:szCs w:val="22"/>
          <w:lang w:val="en-US"/>
        </w:rPr>
        <w:t>Writing Biomedical Research Papers</w:t>
      </w:r>
      <w:r w:rsidRPr="00B51489">
        <w:rPr>
          <w:color w:val="000000"/>
          <w:sz w:val="22"/>
          <w:szCs w:val="22"/>
          <w:lang w:val="en-US"/>
        </w:rPr>
        <w:t xml:space="preserve">, McGraw- Hill, Inc. </w:t>
      </w:r>
      <w:r w:rsidRPr="00B51489">
        <w:rPr>
          <w:color w:val="000000"/>
          <w:sz w:val="14"/>
          <w:szCs w:val="14"/>
          <w:lang w:val="en-US"/>
        </w:rPr>
        <w:t xml:space="preserve">2 </w:t>
      </w:r>
      <w:r w:rsidRPr="00B51489">
        <w:rPr>
          <w:color w:val="000000"/>
          <w:sz w:val="22"/>
          <w:szCs w:val="22"/>
          <w:lang w:val="en-US"/>
        </w:rPr>
        <w:t xml:space="preserve">I.R. Spears, M. </w:t>
      </w:r>
      <w:proofErr w:type="spellStart"/>
      <w:r w:rsidRPr="00B51489">
        <w:rPr>
          <w:color w:val="000000"/>
          <w:sz w:val="22"/>
          <w:szCs w:val="22"/>
          <w:lang w:val="en-US"/>
        </w:rPr>
        <w:t>Pfleiderer</w:t>
      </w:r>
      <w:proofErr w:type="spellEnd"/>
      <w:r w:rsidRPr="00B51489">
        <w:rPr>
          <w:color w:val="000000"/>
          <w:sz w:val="22"/>
          <w:szCs w:val="22"/>
          <w:lang w:val="en-US"/>
        </w:rPr>
        <w:t>, E. Schneider,</w:t>
      </w:r>
    </w:p>
    <w:p w14:paraId="56454DB4" w14:textId="77777777" w:rsidR="00B51489" w:rsidRPr="00B51489" w:rsidRDefault="00B51489" w:rsidP="00B51489">
      <w:pPr>
        <w:autoSpaceDE w:val="0"/>
        <w:autoSpaceDN w:val="0"/>
        <w:adjustRightInd w:val="0"/>
        <w:jc w:val="both"/>
        <w:rPr>
          <w:color w:val="000000"/>
          <w:lang w:val="en-US"/>
        </w:rPr>
      </w:pPr>
      <w:r w:rsidRPr="00B51489">
        <w:rPr>
          <w:color w:val="000000"/>
          <w:sz w:val="22"/>
          <w:szCs w:val="22"/>
          <w:lang w:val="en-US"/>
        </w:rPr>
        <w:t xml:space="preserve">et al (2000) </w:t>
      </w:r>
      <w:r w:rsidRPr="00B51489">
        <w:rPr>
          <w:i/>
          <w:iCs/>
          <w:color w:val="000000"/>
          <w:sz w:val="22"/>
          <w:szCs w:val="22"/>
          <w:lang w:val="en-US"/>
        </w:rPr>
        <w:t xml:space="preserve">J </w:t>
      </w:r>
      <w:proofErr w:type="spellStart"/>
      <w:r w:rsidRPr="00B51489">
        <w:rPr>
          <w:i/>
          <w:iCs/>
          <w:color w:val="000000"/>
          <w:sz w:val="22"/>
          <w:szCs w:val="22"/>
          <w:lang w:val="en-US"/>
        </w:rPr>
        <w:t>Biomech</w:t>
      </w:r>
      <w:proofErr w:type="spellEnd"/>
      <w:r w:rsidRPr="00B51489">
        <w:rPr>
          <w:i/>
          <w:iCs/>
          <w:color w:val="000000"/>
          <w:sz w:val="22"/>
          <w:szCs w:val="22"/>
          <w:lang w:val="en-US"/>
        </w:rPr>
        <w:t xml:space="preserve"> </w:t>
      </w:r>
      <w:r w:rsidRPr="00B51489">
        <w:rPr>
          <w:b/>
          <w:bCs/>
          <w:color w:val="000000"/>
          <w:sz w:val="22"/>
          <w:szCs w:val="22"/>
          <w:lang w:val="en-US"/>
        </w:rPr>
        <w:t>33</w:t>
      </w:r>
      <w:r w:rsidRPr="00B51489">
        <w:rPr>
          <w:color w:val="000000"/>
          <w:sz w:val="22"/>
          <w:szCs w:val="22"/>
          <w:lang w:val="en-US"/>
        </w:rPr>
        <w:t xml:space="preserve">:1471-77. </w:t>
      </w:r>
      <w:r w:rsidRPr="00B51489">
        <w:rPr>
          <w:color w:val="000000"/>
          <w:sz w:val="14"/>
          <w:szCs w:val="14"/>
          <w:lang w:val="en-US"/>
        </w:rPr>
        <w:t xml:space="preserve">3 </w:t>
      </w:r>
      <w:r w:rsidRPr="00B51489">
        <w:rPr>
          <w:color w:val="000000"/>
          <w:lang w:val="en-US"/>
        </w:rPr>
        <w:t xml:space="preserve">A.R Poole, M. </w:t>
      </w:r>
      <w:proofErr w:type="spellStart"/>
      <w:r w:rsidRPr="00B51489">
        <w:rPr>
          <w:color w:val="000000"/>
          <w:lang w:val="en-US"/>
        </w:rPr>
        <w:t>Alini</w:t>
      </w:r>
      <w:proofErr w:type="spellEnd"/>
      <w:r w:rsidRPr="00B51489">
        <w:rPr>
          <w:color w:val="000000"/>
          <w:lang w:val="en-US"/>
        </w:rPr>
        <w:t xml:space="preserve">, and A Hollander (1995) Chondrocytes and cartilage destruction in </w:t>
      </w:r>
      <w:r w:rsidRPr="00B51489">
        <w:rPr>
          <w:i/>
          <w:iCs/>
          <w:color w:val="000000"/>
          <w:lang w:val="en-US"/>
        </w:rPr>
        <w:t>Mechanisms and Models in Rheumatoid</w:t>
      </w:r>
      <w:r w:rsidRPr="00B51489">
        <w:rPr>
          <w:color w:val="000000"/>
          <w:lang w:val="en-US"/>
        </w:rPr>
        <w:t xml:space="preserve"> </w:t>
      </w:r>
      <w:r w:rsidRPr="00B51489">
        <w:rPr>
          <w:i/>
          <w:iCs/>
          <w:color w:val="000000"/>
          <w:lang w:val="en-US"/>
        </w:rPr>
        <w:t xml:space="preserve">Arthritis </w:t>
      </w:r>
      <w:r w:rsidRPr="00B51489">
        <w:rPr>
          <w:color w:val="000000"/>
          <w:lang w:val="en-US"/>
        </w:rPr>
        <w:t>(</w:t>
      </w:r>
      <w:proofErr w:type="spellStart"/>
      <w:r w:rsidRPr="00B51489">
        <w:rPr>
          <w:color w:val="000000"/>
          <w:lang w:val="en-US"/>
        </w:rPr>
        <w:t>eds</w:t>
      </w:r>
      <w:proofErr w:type="spellEnd"/>
      <w:r w:rsidRPr="00B51489">
        <w:rPr>
          <w:color w:val="000000"/>
          <w:lang w:val="en-US"/>
        </w:rPr>
        <w:t xml:space="preserve"> B. Henderson, J. Edwards, and R. </w:t>
      </w:r>
      <w:proofErr w:type="spellStart"/>
      <w:r w:rsidRPr="00B51489">
        <w:rPr>
          <w:color w:val="000000"/>
          <w:lang w:val="en-US"/>
        </w:rPr>
        <w:t>Pettipher</w:t>
      </w:r>
      <w:proofErr w:type="spellEnd"/>
      <w:r w:rsidRPr="00B51489">
        <w:rPr>
          <w:color w:val="000000"/>
          <w:lang w:val="en-US"/>
        </w:rPr>
        <w:t xml:space="preserve">) Academic Press, pp 163-204. </w:t>
      </w:r>
      <w:r w:rsidRPr="00B51489">
        <w:rPr>
          <w:color w:val="000000"/>
          <w:sz w:val="14"/>
          <w:lang w:val="en-US"/>
        </w:rPr>
        <w:t>4</w:t>
      </w:r>
      <w:r w:rsidRPr="00B51489">
        <w:rPr>
          <w:color w:val="000000"/>
          <w:lang w:val="en-US"/>
        </w:rPr>
        <w:t xml:space="preserve"> M </w:t>
      </w:r>
      <w:proofErr w:type="spellStart"/>
      <w:r w:rsidRPr="00B51489">
        <w:rPr>
          <w:color w:val="000000"/>
          <w:sz w:val="22"/>
          <w:szCs w:val="22"/>
          <w:lang w:val="en-US"/>
        </w:rPr>
        <w:t>Bendyk-Szeffer</w:t>
      </w:r>
      <w:proofErr w:type="spellEnd"/>
      <w:r w:rsidRPr="00B51489">
        <w:rPr>
          <w:color w:val="000000"/>
          <w:sz w:val="22"/>
          <w:szCs w:val="22"/>
          <w:lang w:val="en-US"/>
        </w:rPr>
        <w:t xml:space="preserve"> et al (2015) </w:t>
      </w:r>
      <w:r w:rsidRPr="00B51489">
        <w:rPr>
          <w:i/>
          <w:color w:val="000000"/>
          <w:sz w:val="22"/>
          <w:szCs w:val="22"/>
          <w:lang w:val="en-US"/>
        </w:rPr>
        <w:t xml:space="preserve">J </w:t>
      </w:r>
      <w:proofErr w:type="spellStart"/>
      <w:r w:rsidRPr="00B51489">
        <w:rPr>
          <w:i/>
          <w:color w:val="000000"/>
          <w:sz w:val="22"/>
          <w:szCs w:val="22"/>
          <w:lang w:val="en-US"/>
        </w:rPr>
        <w:t>Endod</w:t>
      </w:r>
      <w:proofErr w:type="spellEnd"/>
      <w:r w:rsidRPr="00B51489">
        <w:rPr>
          <w:i/>
          <w:color w:val="000000"/>
          <w:sz w:val="22"/>
          <w:szCs w:val="22"/>
          <w:lang w:val="en-US"/>
        </w:rPr>
        <w:t xml:space="preserve"> </w:t>
      </w:r>
      <w:r w:rsidRPr="00B51489">
        <w:rPr>
          <w:b/>
          <w:color w:val="000000"/>
          <w:sz w:val="22"/>
          <w:szCs w:val="22"/>
          <w:lang w:val="en-US"/>
        </w:rPr>
        <w:t>41:</w:t>
      </w:r>
      <w:r w:rsidRPr="00B51489">
        <w:rPr>
          <w:color w:val="000000"/>
          <w:sz w:val="22"/>
          <w:szCs w:val="22"/>
          <w:lang w:val="en-US"/>
        </w:rPr>
        <w:t>274-8</w:t>
      </w:r>
    </w:p>
    <w:p w14:paraId="3BC2CAE2" w14:textId="77777777" w:rsidR="00B51489" w:rsidRPr="00EC2894" w:rsidRDefault="00B51489" w:rsidP="00B51489">
      <w:pPr>
        <w:autoSpaceDE w:val="0"/>
        <w:autoSpaceDN w:val="0"/>
        <w:adjustRightInd w:val="0"/>
        <w:jc w:val="both"/>
        <w:rPr>
          <w:color w:val="000000"/>
          <w:sz w:val="20"/>
          <w:szCs w:val="20"/>
          <w:lang w:val="en-US"/>
        </w:rPr>
      </w:pPr>
    </w:p>
    <w:p w14:paraId="3AEE076F" w14:textId="77777777" w:rsidR="00B51489" w:rsidRPr="00EC2894" w:rsidRDefault="00B51489" w:rsidP="00B51489">
      <w:pPr>
        <w:autoSpaceDE w:val="0"/>
        <w:autoSpaceDN w:val="0"/>
        <w:adjustRightInd w:val="0"/>
        <w:jc w:val="both"/>
        <w:rPr>
          <w:color w:val="000000"/>
          <w:sz w:val="20"/>
          <w:szCs w:val="20"/>
          <w:lang w:val="en-US"/>
        </w:rPr>
      </w:pPr>
    </w:p>
    <w:p w14:paraId="58A0042A" w14:textId="77777777" w:rsidR="00B51489" w:rsidRPr="00B51489" w:rsidRDefault="00B51489" w:rsidP="00B51489">
      <w:pPr>
        <w:autoSpaceDE w:val="0"/>
        <w:autoSpaceDN w:val="0"/>
        <w:adjustRightInd w:val="0"/>
        <w:jc w:val="both"/>
        <w:rPr>
          <w:color w:val="000000"/>
          <w:sz w:val="22"/>
          <w:szCs w:val="22"/>
          <w:lang w:val="en-US"/>
        </w:rPr>
      </w:pPr>
      <w:r w:rsidRPr="00B51489">
        <w:rPr>
          <w:b/>
          <w:bCs/>
          <w:color w:val="000000"/>
          <w:sz w:val="22"/>
          <w:szCs w:val="22"/>
          <w:lang w:val="en-US"/>
        </w:rPr>
        <w:t xml:space="preserve">ACKNOWLEDGEMENTS: </w:t>
      </w:r>
      <w:r w:rsidRPr="00B51489">
        <w:rPr>
          <w:color w:val="000000"/>
          <w:sz w:val="22"/>
          <w:szCs w:val="22"/>
          <w:lang w:val="en-US"/>
        </w:rPr>
        <w:t xml:space="preserve">This template was initially modified with kind permission from European cells and Materials Journal. This case report is in section References (4). </w:t>
      </w:r>
    </w:p>
    <w:p w14:paraId="0DCCAD1B" w14:textId="77777777" w:rsidR="00B51489" w:rsidRPr="00B51489" w:rsidRDefault="00B51489" w:rsidP="00B51489">
      <w:pPr>
        <w:autoSpaceDE w:val="0"/>
        <w:autoSpaceDN w:val="0"/>
        <w:adjustRightInd w:val="0"/>
        <w:jc w:val="both"/>
        <w:rPr>
          <w:color w:val="000000"/>
          <w:sz w:val="22"/>
          <w:szCs w:val="22"/>
          <w:lang w:val="en-US"/>
        </w:rPr>
        <w:sectPr w:rsidR="00B51489" w:rsidRPr="00B51489">
          <w:type w:val="continuous"/>
          <w:pgSz w:w="11906" w:h="16838"/>
          <w:pgMar w:top="851" w:right="1134" w:bottom="1418" w:left="1134" w:header="708" w:footer="708" w:gutter="0"/>
          <w:cols w:num="2" w:space="336"/>
          <w:docGrid w:linePitch="360"/>
        </w:sectPr>
      </w:pPr>
    </w:p>
    <w:p w14:paraId="0019A33A" w14:textId="77777777" w:rsidR="00B51489" w:rsidRPr="00B51489" w:rsidRDefault="00B51489" w:rsidP="00B51489">
      <w:pPr>
        <w:rPr>
          <w:lang w:val="en-US"/>
        </w:rPr>
      </w:pPr>
    </w:p>
    <w:p w14:paraId="7297A74F" w14:textId="77777777" w:rsidR="00BE4F73" w:rsidRPr="00B51489" w:rsidRDefault="00BE4F73">
      <w:pPr>
        <w:rPr>
          <w:lang w:val="en-US"/>
        </w:rPr>
      </w:pPr>
    </w:p>
    <w:sectPr w:rsidR="00BE4F73" w:rsidRPr="00B51489" w:rsidSect="008E3A98">
      <w:type w:val="continuous"/>
      <w:pgSz w:w="11906" w:h="16838"/>
      <w:pgMar w:top="851" w:right="1134" w:bottom="1418" w:left="1134" w:header="708" w:footer="708" w:gutter="0"/>
      <w:cols w:num="2" w:space="3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489"/>
    <w:rsid w:val="0005103B"/>
    <w:rsid w:val="003B30C9"/>
    <w:rsid w:val="00834391"/>
    <w:rsid w:val="00B46265"/>
    <w:rsid w:val="00B51489"/>
    <w:rsid w:val="00BE4F73"/>
    <w:rsid w:val="00C56DF5"/>
    <w:rsid w:val="00EC28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966EB"/>
  <w14:defaultImageDpi w14:val="300"/>
  <w15:docId w15:val="{FB5190EE-4D66-1F4E-B89F-2A1B94A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489"/>
    <w:rPr>
      <w:rFonts w:ascii="Times New Roman" w:eastAsia="Times New Roman" w:hAnsi="Times New Roman" w:cs="Times New Roman"/>
      <w:lang w:val="en-GB"/>
    </w:rPr>
  </w:style>
  <w:style w:type="paragraph" w:styleId="Titre1">
    <w:name w:val="heading 1"/>
    <w:basedOn w:val="Normal"/>
    <w:link w:val="Titre1Car"/>
    <w:uiPriority w:val="9"/>
    <w:qFormat/>
    <w:rsid w:val="00B51489"/>
    <w:pPr>
      <w:spacing w:before="100" w:beforeAutospacing="1" w:after="100" w:afterAutospacing="1"/>
      <w:outlineLvl w:val="0"/>
    </w:pPr>
    <w:rPr>
      <w:b/>
      <w:bCs/>
      <w:kern w:val="36"/>
      <w:sz w:val="48"/>
      <w:szCs w:val="4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1489"/>
    <w:rPr>
      <w:rFonts w:ascii="Times New Roman" w:eastAsia="Times New Roman" w:hAnsi="Times New Roman" w:cs="Times New Roman"/>
      <w:b/>
      <w:bCs/>
      <w:kern w:val="36"/>
      <w:sz w:val="48"/>
      <w:szCs w:val="48"/>
    </w:rPr>
  </w:style>
  <w:style w:type="character" w:customStyle="1" w:styleId="highlight">
    <w:name w:val="highlight"/>
    <w:basedOn w:val="Policepardfaut"/>
    <w:rsid w:val="00B51489"/>
  </w:style>
  <w:style w:type="paragraph" w:styleId="Textedebulles">
    <w:name w:val="Balloon Text"/>
    <w:basedOn w:val="Normal"/>
    <w:link w:val="TextedebullesCar"/>
    <w:uiPriority w:val="99"/>
    <w:semiHidden/>
    <w:unhideWhenUsed/>
    <w:rsid w:val="00B51489"/>
    <w:rPr>
      <w:rFonts w:ascii="Lucida Grande" w:hAnsi="Lucida Grande"/>
      <w:sz w:val="18"/>
      <w:szCs w:val="18"/>
    </w:rPr>
  </w:style>
  <w:style w:type="character" w:customStyle="1" w:styleId="TextedebullesCar">
    <w:name w:val="Texte de bulles Car"/>
    <w:basedOn w:val="Policepardfaut"/>
    <w:link w:val="Textedebulles"/>
    <w:uiPriority w:val="99"/>
    <w:semiHidden/>
    <w:rsid w:val="00B51489"/>
    <w:rPr>
      <w:rFonts w:ascii="Lucida Grande" w:eastAsia="Times New Roman"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604</Words>
  <Characters>3325</Characters>
  <Application>Microsoft Office Word</Application>
  <DocSecurity>0</DocSecurity>
  <Lines>27</Lines>
  <Paragraphs>7</Paragraphs>
  <ScaleCrop>false</ScaleCrop>
  <Compan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dc:creator>
  <cp:keywords/>
  <dc:description/>
  <cp:lastModifiedBy>BUKIET Frederic</cp:lastModifiedBy>
  <cp:revision>6</cp:revision>
  <dcterms:created xsi:type="dcterms:W3CDTF">2015-02-12T11:08:00Z</dcterms:created>
  <dcterms:modified xsi:type="dcterms:W3CDTF">2019-01-18T08:43:00Z</dcterms:modified>
</cp:coreProperties>
</file>